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30" w:rsidRDefault="0042390B" w:rsidP="00E90686">
      <w:pPr>
        <w:pStyle w:val="Heading1"/>
        <w:spacing w:after="0" w:line="240" w:lineRule="auto"/>
      </w:pPr>
      <w:bookmarkStart w:id="0" w:name="_GoBack"/>
      <w:bookmarkEnd w:id="0"/>
      <w:r>
        <w:t xml:space="preserve">                             </w:t>
      </w:r>
      <w:r w:rsidR="00783A30">
        <w:tab/>
      </w:r>
      <w:r w:rsidR="00783A30">
        <w:tab/>
      </w:r>
      <w:r w:rsidR="00783A30">
        <w:tab/>
      </w:r>
      <w:r w:rsidR="00783A30">
        <w:tab/>
      </w:r>
      <w:r w:rsidR="00783A30">
        <w:tab/>
      </w:r>
      <w:r w:rsidR="00783A30">
        <w:tab/>
      </w:r>
      <w:r w:rsidR="00E947F1">
        <w:t xml:space="preserve">                                       </w:t>
      </w:r>
      <w:r w:rsidR="00783A30">
        <w:t>Handout 1</w:t>
      </w:r>
    </w:p>
    <w:p w:rsidR="00E90686" w:rsidRDefault="00E90686" w:rsidP="00E90686">
      <w:pPr>
        <w:pStyle w:val="Heading1"/>
        <w:spacing w:after="0" w:line="240" w:lineRule="auto"/>
      </w:pPr>
      <w:r>
        <w:t>NEW ADVISOR DEVELOPMENT CHART: BUILDING THE FOUNDATION</w:t>
      </w:r>
    </w:p>
    <w:p w:rsidR="00E90686" w:rsidRDefault="00E90686" w:rsidP="00E90686">
      <w:pPr>
        <w:jc w:val="center"/>
        <w:rPr>
          <w:b/>
        </w:rPr>
      </w:pPr>
      <w:r>
        <w:rPr>
          <w:b/>
        </w:rPr>
        <w:t xml:space="preserve">CONCEPTUAL </w:t>
      </w:r>
      <w:r w:rsidRPr="0098566F">
        <w:rPr>
          <w:b/>
        </w:rPr>
        <w:t>COMPONENT</w:t>
      </w:r>
      <w:r>
        <w:rPr>
          <w:b/>
        </w:rPr>
        <w:t xml:space="preserve">: </w:t>
      </w:r>
      <w:r w:rsidRPr="004A50D6">
        <w:rPr>
          <w:b/>
          <w:i/>
        </w:rPr>
        <w:t xml:space="preserve">GUIDEBOOK </w:t>
      </w:r>
      <w:r>
        <w:rPr>
          <w:b/>
        </w:rPr>
        <w:t>PARTS ONE &amp;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6"/>
        <w:gridCol w:w="3096"/>
      </w:tblGrid>
      <w:tr w:rsidR="00E90686" w:rsidRPr="00765321" w:rsidTr="004F748C">
        <w:tc>
          <w:tcPr>
            <w:tcW w:w="3591" w:type="dxa"/>
            <w:shd w:val="clear" w:color="auto" w:fill="C0C0C0"/>
            <w:vAlign w:val="bottom"/>
          </w:tcPr>
          <w:p w:rsidR="00E90686" w:rsidRPr="00765321" w:rsidRDefault="00E90686" w:rsidP="004F748C">
            <w:pPr>
              <w:keepNext/>
              <w:spacing w:before="240"/>
              <w:jc w:val="center"/>
              <w:outlineLvl w:val="0"/>
              <w:rPr>
                <w:rFonts w:cs="Arial"/>
                <w:b/>
                <w:bCs/>
                <w:kern w:val="32"/>
                <w:szCs w:val="32"/>
              </w:rPr>
            </w:pPr>
            <w:r>
              <w:rPr>
                <w:rFonts w:cs="Arial"/>
                <w:b/>
                <w:bCs/>
                <w:kern w:val="32"/>
                <w:szCs w:val="32"/>
              </w:rPr>
              <w:t>Foundations</w:t>
            </w:r>
          </w:p>
        </w:tc>
        <w:tc>
          <w:tcPr>
            <w:tcW w:w="3620" w:type="dxa"/>
            <w:shd w:val="clear" w:color="auto" w:fill="C0C0C0"/>
            <w:vAlign w:val="bottom"/>
          </w:tcPr>
          <w:p w:rsidR="00E90686" w:rsidRPr="00765321" w:rsidRDefault="00E90686" w:rsidP="004F748C">
            <w:pPr>
              <w:keepNext/>
              <w:spacing w:before="240"/>
              <w:jc w:val="center"/>
              <w:outlineLvl w:val="0"/>
              <w:rPr>
                <w:rFonts w:cs="Arial"/>
                <w:b/>
                <w:bCs/>
                <w:kern w:val="32"/>
                <w:szCs w:val="32"/>
              </w:rPr>
            </w:pPr>
            <w:r w:rsidRPr="00765321">
              <w:rPr>
                <w:rFonts w:cs="Arial"/>
                <w:b/>
                <w:bCs/>
                <w:kern w:val="32"/>
                <w:szCs w:val="32"/>
              </w:rPr>
              <w:t>Year One</w:t>
            </w:r>
          </w:p>
        </w:tc>
        <w:tc>
          <w:tcPr>
            <w:tcW w:w="3579" w:type="dxa"/>
            <w:shd w:val="clear" w:color="auto" w:fill="C0C0C0"/>
            <w:vAlign w:val="bottom"/>
          </w:tcPr>
          <w:p w:rsidR="00E90686" w:rsidRPr="00765321" w:rsidRDefault="00E90686" w:rsidP="004F748C">
            <w:pPr>
              <w:keepNext/>
              <w:spacing w:before="240"/>
              <w:jc w:val="center"/>
              <w:outlineLvl w:val="0"/>
              <w:rPr>
                <w:rFonts w:cs="Arial"/>
                <w:b/>
                <w:bCs/>
                <w:kern w:val="32"/>
                <w:szCs w:val="32"/>
              </w:rPr>
            </w:pPr>
            <w:r w:rsidRPr="00765321">
              <w:rPr>
                <w:rFonts w:cs="Arial"/>
                <w:b/>
                <w:bCs/>
                <w:kern w:val="32"/>
                <w:szCs w:val="32"/>
              </w:rPr>
              <w:t xml:space="preserve">Year </w:t>
            </w:r>
            <w:r>
              <w:rPr>
                <w:rFonts w:cs="Arial"/>
                <w:b/>
                <w:bCs/>
                <w:kern w:val="32"/>
                <w:szCs w:val="32"/>
              </w:rPr>
              <w:t>Three &amp; Beyond: Foundational Mastery</w:t>
            </w:r>
          </w:p>
        </w:tc>
      </w:tr>
      <w:tr w:rsidR="00E90686" w:rsidRPr="00765321" w:rsidTr="004F748C">
        <w:tc>
          <w:tcPr>
            <w:tcW w:w="3591" w:type="dxa"/>
            <w:shd w:val="clear" w:color="auto" w:fill="auto"/>
            <w:vAlign w:val="center"/>
          </w:tcPr>
          <w:p w:rsidR="00E90686" w:rsidRPr="00C76D71" w:rsidRDefault="00E90686" w:rsidP="004F748C">
            <w:pPr>
              <w:rPr>
                <w:b/>
              </w:rPr>
            </w:pPr>
            <w:r w:rsidRPr="00C76D71">
              <w:rPr>
                <w:b/>
              </w:rPr>
              <w:t xml:space="preserve">Pillars of Advising </w:t>
            </w:r>
          </w:p>
          <w:p w:rsidR="00E90686" w:rsidRPr="004A50D6" w:rsidRDefault="00E90686" w:rsidP="004F748C">
            <w:pPr>
              <w:numPr>
                <w:ilvl w:val="0"/>
                <w:numId w:val="1"/>
              </w:numPr>
              <w:autoSpaceDE w:val="0"/>
              <w:autoSpaceDN w:val="0"/>
              <w:adjustRightInd w:val="0"/>
              <w:contextualSpacing/>
              <w:rPr>
                <w:rFonts w:ascii="Arial" w:eastAsiaTheme="minorHAnsi" w:hAnsi="Arial" w:cs="Arial"/>
                <w:i/>
                <w:sz w:val="20"/>
                <w:szCs w:val="20"/>
              </w:rPr>
            </w:pPr>
            <w:r w:rsidRPr="008319CC">
              <w:rPr>
                <w:rFonts w:ascii="Arial" w:eastAsiaTheme="minorHAnsi" w:hAnsi="Arial" w:cs="Arial"/>
                <w:i/>
                <w:sz w:val="20"/>
                <w:szCs w:val="20"/>
              </w:rPr>
              <w:t xml:space="preserve">The NACADA Concept of </w:t>
            </w:r>
            <w:r w:rsidRPr="004A50D6">
              <w:rPr>
                <w:rFonts w:ascii="Arial" w:eastAsiaTheme="minorHAnsi" w:hAnsi="Arial" w:cs="Arial"/>
                <w:i/>
                <w:sz w:val="20"/>
                <w:szCs w:val="20"/>
              </w:rPr>
              <w:t xml:space="preserve">Academic Advising </w:t>
            </w:r>
          </w:p>
          <w:p w:rsidR="00E90686" w:rsidRPr="004A50D6" w:rsidRDefault="00E90686" w:rsidP="004F748C">
            <w:pPr>
              <w:numPr>
                <w:ilvl w:val="0"/>
                <w:numId w:val="1"/>
              </w:numPr>
              <w:autoSpaceDE w:val="0"/>
              <w:autoSpaceDN w:val="0"/>
              <w:adjustRightInd w:val="0"/>
              <w:contextualSpacing/>
              <w:rPr>
                <w:rFonts w:ascii="Arial" w:eastAsiaTheme="minorHAnsi" w:hAnsi="Arial" w:cs="Arial"/>
                <w:i/>
                <w:sz w:val="20"/>
                <w:szCs w:val="20"/>
              </w:rPr>
            </w:pPr>
            <w:r w:rsidRPr="004A50D6">
              <w:rPr>
                <w:rFonts w:ascii="Arial" w:eastAsiaTheme="minorHAnsi" w:hAnsi="Arial" w:cs="Arial"/>
                <w:i/>
                <w:sz w:val="20"/>
                <w:szCs w:val="20"/>
              </w:rPr>
              <w:t xml:space="preserve">The NACADA Statement of Core Values of Academic Advising </w:t>
            </w:r>
          </w:p>
          <w:p w:rsidR="00E90686" w:rsidRPr="00765321" w:rsidRDefault="00E90686" w:rsidP="004F748C">
            <w:pPr>
              <w:numPr>
                <w:ilvl w:val="0"/>
                <w:numId w:val="1"/>
              </w:numPr>
              <w:autoSpaceDE w:val="0"/>
              <w:autoSpaceDN w:val="0"/>
              <w:adjustRightInd w:val="0"/>
              <w:contextualSpacing/>
              <w:rPr>
                <w:szCs w:val="20"/>
              </w:rPr>
            </w:pPr>
            <w:r w:rsidRPr="004A50D6">
              <w:rPr>
                <w:rFonts w:ascii="Arial" w:eastAsiaTheme="minorHAnsi" w:hAnsi="Arial" w:cs="Arial"/>
                <w:i/>
                <w:sz w:val="20"/>
                <w:szCs w:val="20"/>
              </w:rPr>
              <w:t xml:space="preserve">The CAS Standards for Academic Advising Programs </w:t>
            </w:r>
          </w:p>
        </w:tc>
        <w:tc>
          <w:tcPr>
            <w:tcW w:w="3620" w:type="dxa"/>
            <w:shd w:val="clear" w:color="auto" w:fill="auto"/>
          </w:tcPr>
          <w:p w:rsidR="00E90686" w:rsidRPr="000130BB" w:rsidRDefault="00E90686" w:rsidP="004F748C">
            <w:r w:rsidRPr="00765321">
              <w:t>Reads</w:t>
            </w:r>
            <w:r>
              <w:t>, understands, explains, and summarizes</w:t>
            </w:r>
            <w:r w:rsidRPr="00765321">
              <w:t xml:space="preserve"> CAS Standards and NACADA Statement of Core Values of Academic Advising.</w:t>
            </w:r>
          </w:p>
          <w:p w:rsidR="00E90686" w:rsidRPr="00765321" w:rsidRDefault="00E90686" w:rsidP="004F748C"/>
        </w:tc>
        <w:tc>
          <w:tcPr>
            <w:tcW w:w="3579" w:type="dxa"/>
            <w:shd w:val="clear" w:color="auto" w:fill="auto"/>
          </w:tcPr>
          <w:p w:rsidR="00E90686" w:rsidRPr="00765321" w:rsidRDefault="00E90686" w:rsidP="004F748C">
            <w:r>
              <w:t>R</w:t>
            </w:r>
            <w:r w:rsidRPr="00765321">
              <w:t xml:space="preserve">eviews </w:t>
            </w:r>
            <w:r>
              <w:t xml:space="preserve">Pillars of Advising annually, analyzing and evaluating </w:t>
            </w:r>
            <w:r w:rsidRPr="00765321">
              <w:t>individual, office, and campus-wide advising</w:t>
            </w:r>
            <w:r>
              <w:t xml:space="preserve"> practices to set goals for individual improvement.  Uses analysis to recommend changes in office or campus advising practice. Participates in revisions to office or campus advising practice. </w:t>
            </w:r>
          </w:p>
        </w:tc>
      </w:tr>
    </w:tbl>
    <w:p w:rsidR="00A8516B" w:rsidRDefault="00A851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172"/>
        <w:gridCol w:w="3131"/>
      </w:tblGrid>
      <w:tr w:rsidR="00FD4078" w:rsidRPr="00722F6B" w:rsidTr="004F748C">
        <w:tc>
          <w:tcPr>
            <w:tcW w:w="3591" w:type="dxa"/>
            <w:shd w:val="clear" w:color="auto" w:fill="auto"/>
          </w:tcPr>
          <w:p w:rsidR="00FD4078" w:rsidRPr="00765321" w:rsidRDefault="00FD4078" w:rsidP="004F748C">
            <w:pPr>
              <w:rPr>
                <w:szCs w:val="20"/>
              </w:rPr>
            </w:pPr>
            <w:r w:rsidRPr="008319CC">
              <w:rPr>
                <w:b/>
                <w:szCs w:val="20"/>
              </w:rPr>
              <w:t>Theory</w:t>
            </w:r>
          </w:p>
        </w:tc>
        <w:tc>
          <w:tcPr>
            <w:tcW w:w="3620" w:type="dxa"/>
            <w:shd w:val="clear" w:color="auto" w:fill="auto"/>
          </w:tcPr>
          <w:p w:rsidR="001E52E6" w:rsidRDefault="00FD4078" w:rsidP="001E52E6">
            <w:r w:rsidRPr="0098566F">
              <w:t>Reads</w:t>
            </w:r>
            <w:r>
              <w:t xml:space="preserve"> and</w:t>
            </w:r>
            <w:r w:rsidRPr="0098566F">
              <w:t xml:space="preserve"> summarizes foundational student development theories. Able to place student behavior in simulations, advising notes, case studies</w:t>
            </w:r>
            <w:r>
              <w:t>,</w:t>
            </w:r>
            <w:r w:rsidRPr="0098566F">
              <w:t xml:space="preserve"> or advising observations into a theoretical construct. </w:t>
            </w:r>
          </w:p>
          <w:p w:rsidR="001E52E6" w:rsidRDefault="001E52E6" w:rsidP="001E52E6"/>
          <w:p w:rsidR="001E52E6" w:rsidRDefault="001E52E6" w:rsidP="001E52E6">
            <w:r>
              <w:t>S</w:t>
            </w:r>
            <w:r w:rsidR="00FD4078" w:rsidRPr="0098566F">
              <w:t xml:space="preserve">elects one theory to apply regularly in advising sessions to gain skill in </w:t>
            </w:r>
            <w:r w:rsidR="00FD4078">
              <w:t>the</w:t>
            </w:r>
            <w:r w:rsidR="00FD4078" w:rsidRPr="0098566F">
              <w:t xml:space="preserve"> questioning techniques and advising strategies</w:t>
            </w:r>
            <w:r w:rsidR="00FD4078">
              <w:t xml:space="preserve"> associated with it</w:t>
            </w:r>
            <w:r w:rsidR="00FD4078" w:rsidRPr="0098566F">
              <w:t xml:space="preserve">. </w:t>
            </w:r>
          </w:p>
          <w:p w:rsidR="001E52E6" w:rsidRDefault="001E52E6" w:rsidP="001E52E6"/>
          <w:p w:rsidR="00FD4078" w:rsidRPr="00765321" w:rsidRDefault="00FD4078" w:rsidP="001E52E6">
            <w:r>
              <w:t>Reads, understands, describes, and summarizes one career model</w:t>
            </w:r>
            <w:r w:rsidRPr="00F0431D">
              <w:t>.</w:t>
            </w:r>
            <w:r>
              <w:t xml:space="preserve">   Recognizes career-related questions and applies career model in advising sessions, returning to the model as needed to clarify phases and questioning techniques as necessary.</w:t>
            </w:r>
          </w:p>
        </w:tc>
        <w:tc>
          <w:tcPr>
            <w:tcW w:w="3579" w:type="dxa"/>
            <w:shd w:val="clear" w:color="auto" w:fill="auto"/>
          </w:tcPr>
          <w:p w:rsidR="001E52E6" w:rsidRDefault="00FD4078" w:rsidP="001E52E6">
            <w:r>
              <w:t xml:space="preserve">Consistently applies a number of theories in advising.  Analyzes and evaluates most appropriate theories to use based on student’s questions and behaviors. May use multiple theories in one session. Continues to add to repertoire of theories. May serve as model, mentor, for trainer for new advisors on the application of theory. </w:t>
            </w:r>
          </w:p>
          <w:p w:rsidR="001E52E6" w:rsidRDefault="001E52E6" w:rsidP="001E52E6"/>
          <w:p w:rsidR="00FD4078" w:rsidRPr="00722F6B" w:rsidRDefault="001E52E6" w:rsidP="001E52E6">
            <w:r>
              <w:t>F</w:t>
            </w:r>
            <w:r w:rsidR="00FD4078">
              <w:t>ully integrates advising theories and career model(s) and their respective strategies into advising practice.  Analyzes student situation and selects most appropriate model and/or theory.</w:t>
            </w:r>
          </w:p>
        </w:tc>
      </w:tr>
    </w:tbl>
    <w:p w:rsidR="00FD4078" w:rsidRDefault="00FD4078"/>
    <w:sectPr w:rsidR="00FD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03007"/>
    <w:multiLevelType w:val="hybridMultilevel"/>
    <w:tmpl w:val="798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86"/>
    <w:rsid w:val="001E52E6"/>
    <w:rsid w:val="0042390B"/>
    <w:rsid w:val="004B7490"/>
    <w:rsid w:val="00783A30"/>
    <w:rsid w:val="00A8516B"/>
    <w:rsid w:val="00C87D81"/>
    <w:rsid w:val="00E90686"/>
    <w:rsid w:val="00E947F1"/>
    <w:rsid w:val="00FD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6456C-C58B-41D2-B8C6-3939E54A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0686"/>
    <w:pPr>
      <w:keepNext/>
      <w:spacing w:before="240" w:after="60" w:line="480" w:lineRule="auto"/>
      <w:jc w:val="center"/>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686"/>
    <w:rPr>
      <w:rFonts w:ascii="Times New Roman" w:eastAsia="Times New Roman" w:hAnsi="Times New Roman"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MarshaMiller</dc:creator>
  <cp:keywords/>
  <dc:description/>
  <cp:lastModifiedBy>Marsha Miller</cp:lastModifiedBy>
  <cp:revision>2</cp:revision>
  <dcterms:created xsi:type="dcterms:W3CDTF">2019-09-11T17:13:00Z</dcterms:created>
  <dcterms:modified xsi:type="dcterms:W3CDTF">2019-09-11T17:13:00Z</dcterms:modified>
</cp:coreProperties>
</file>